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93A96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093A96"/>
          <w:spacing w:val="0"/>
          <w:sz w:val="33"/>
          <w:szCs w:val="33"/>
        </w:rPr>
        <w:t>国务院食品安全办等9部门关于印发全国食品、保健食品欺诈和虚假宣传整治电视电话会议讲话的通知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93A96"/>
          <w:spacing w:val="0"/>
          <w:sz w:val="33"/>
          <w:szCs w:val="33"/>
        </w:rPr>
      </w:pP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（食安办〔2017〕29号）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各省、自治区、直辖市、新疆生产建设兵团食品安全办、公安厅（局）、商务主管部门、工商行政管理局、质量技术监督局、新闻出版广电局、食品药品监管局、通信管理局、互联网信息办公室，各直属出入境检验检疫局：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2017年9月4日，国务院食品安全办等9部门召开了全国食品、保健食品欺诈和虚假宣传整治工作电视电话会议。现将有关部门负责同志在会上的讲话印发给你们，请认真抓好贯彻落实。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附件：1.国务院食品安全办主任、食品药品监管总局局长毕井泉同志总结讲话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2.国务院食品安全办副主任、食品药品监管总局副局长孙梅君同志讲话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3.工业和信息化部党组成员、总工程师张峰同志讲话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4.公安部治安管理局副局长张佐良同志讲话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5.商务部副部长王炳南同志讲话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6.工商总局副局长甘霖同志讲话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7.质检总局总检验师张际文同志讲话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8.新闻出版广电总局副局长田进同志讲话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　　　9.网信办网络应急管理和网络舆情局副局长（正局级）李鹏程同志讲话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国务院食品安全办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工业和信息化部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公安部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商务部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工商总局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质检总局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新闻出版广电总局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食品药品监管总局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国家互联网信息办公室</w:t>
      </w:r>
    </w:p>
    <w:p>
      <w:pPr>
        <w:pStyle w:val="2"/>
        <w:keepNext w:val="0"/>
        <w:keepLines w:val="0"/>
        <w:widowControl/>
        <w:suppressLineNumbers w:val="0"/>
        <w:wordWrap/>
        <w:spacing w:line="42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2017年9月14日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93A96"/>
          <w:spacing w:val="0"/>
          <w:sz w:val="33"/>
          <w:szCs w:val="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3B75"/>
    <w:rsid w:val="6AD63B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2018-05-30T08:08:00Z</dcterms:created>
  <dc:creator>簡單Dê生活</dc:creator>
  <cp:lastModifiedBy>簡單Dê生活</cp:lastModifiedBy>
  <dcterms:modified xsi:type="dcterms:W3CDTF">2018-05-30T08:09:48Z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